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ED" w:rsidRDefault="005F68ED">
      <w:pPr>
        <w:pStyle w:val="BodyA"/>
      </w:pP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7588"/>
      </w:tblGrid>
      <w:tr w:rsidR="005F68ED">
        <w:trPr>
          <w:trHeight w:val="145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D34E02" w:rsidRDefault="00D34E02" w:rsidP="00D34E02">
            <w:pPr>
              <w:pStyle w:val="BodyA"/>
              <w:ind w:firstLine="0"/>
              <w:jc w:val="center"/>
              <w:rPr>
                <w:rFonts w:ascii="Arial Bold"/>
                <w:u w:val="none"/>
              </w:rPr>
            </w:pPr>
            <w:r>
              <w:rPr>
                <w:rFonts w:ascii="Arial Bold"/>
                <w:u w:val="none"/>
              </w:rPr>
              <w:t>Essential</w:t>
            </w:r>
          </w:p>
          <w:p w:rsidR="005F68ED" w:rsidRDefault="001D27CA" w:rsidP="00D34E02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Un</w:t>
            </w:r>
            <w:r w:rsidR="00D34E02">
              <w:rPr>
                <w:rFonts w:ascii="Arial Bold"/>
                <w:u w:val="none"/>
              </w:rPr>
              <w:t>der</w:t>
            </w:r>
            <w:r w:rsidR="00ED06EB">
              <w:rPr>
                <w:rFonts w:ascii="Arial Bold"/>
                <w:u w:val="none"/>
              </w:rPr>
              <w:t>standings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>
            <w:pPr>
              <w:pStyle w:val="BodyB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-Certain physical and psychological behaviors constitute bullying.</w:t>
            </w:r>
          </w:p>
          <w:p w:rsidR="005F68ED" w:rsidRDefault="005F68ED">
            <w:pPr>
              <w:pStyle w:val="BodyB"/>
              <w:rPr>
                <w:rFonts w:ascii="Arial" w:eastAsia="Arial" w:hAnsi="Arial" w:cs="Arial"/>
              </w:rPr>
            </w:pPr>
          </w:p>
          <w:p w:rsidR="005F68ED" w:rsidRDefault="00ED06EB">
            <w:pPr>
              <w:pStyle w:val="BodyB"/>
            </w:pPr>
            <w:r>
              <w:rPr>
                <w:rFonts w:ascii="Arial"/>
              </w:rPr>
              <w:t>-There are appropriate responses to bullying behavior.</w:t>
            </w:r>
          </w:p>
        </w:tc>
      </w:tr>
      <w:tr w:rsidR="005F68ED">
        <w:trPr>
          <w:trHeight w:val="201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5F68ED" w:rsidRPr="00D34E02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Essential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Questions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>
            <w:pPr>
              <w:pStyle w:val="Default"/>
              <w:numPr>
                <w:ilvl w:val="0"/>
                <w:numId w:val="3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What is bullying?</w:t>
            </w:r>
          </w:p>
          <w:p w:rsidR="005F68ED" w:rsidRDefault="00ED06EB">
            <w:pPr>
              <w:pStyle w:val="Default"/>
              <w:numPr>
                <w:ilvl w:val="0"/>
                <w:numId w:val="6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 xml:space="preserve">Why might people bully? </w:t>
            </w:r>
          </w:p>
          <w:p w:rsidR="005F68ED" w:rsidRDefault="00ED06EB">
            <w:pPr>
              <w:pStyle w:val="Default"/>
              <w:numPr>
                <w:ilvl w:val="0"/>
                <w:numId w:val="9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What are appropriate personal responses to a bullying situation?</w:t>
            </w:r>
          </w:p>
          <w:p w:rsidR="005F68ED" w:rsidRDefault="00ED06EB">
            <w:pPr>
              <w:pStyle w:val="Default"/>
              <w:numPr>
                <w:ilvl w:val="0"/>
                <w:numId w:val="12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Where and when can bullying behavior happen?</w:t>
            </w:r>
          </w:p>
          <w:p w:rsidR="005F68ED" w:rsidRDefault="00ED06EB">
            <w:pPr>
              <w:pStyle w:val="Default"/>
              <w:numPr>
                <w:ilvl w:val="0"/>
                <w:numId w:val="15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What resources are available to assist students?</w:t>
            </w:r>
          </w:p>
        </w:tc>
      </w:tr>
      <w:tr w:rsidR="005F68ED">
        <w:trPr>
          <w:trHeight w:val="145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5F68ED" w:rsidRDefault="00ED06EB" w:rsidP="00D34E02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Essential Knowledge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>
            <w:pPr>
              <w:pStyle w:val="BodyA"/>
              <w:numPr>
                <w:ilvl w:val="0"/>
                <w:numId w:val="17"/>
              </w:numPr>
              <w:tabs>
                <w:tab w:val="left" w:pos="262"/>
              </w:tabs>
              <w:rPr>
                <w:u w:val="none"/>
              </w:rPr>
            </w:pPr>
            <w:r>
              <w:rPr>
                <w:u w:val="none"/>
              </w:rPr>
              <w:t xml:space="preserve">There are differences between bullying behavior and teasing behavior </w:t>
            </w:r>
          </w:p>
          <w:p w:rsidR="005F68ED" w:rsidRDefault="00ED06EB">
            <w:pPr>
              <w:pStyle w:val="BodyA"/>
              <w:numPr>
                <w:ilvl w:val="0"/>
                <w:numId w:val="19"/>
              </w:numPr>
              <w:tabs>
                <w:tab w:val="left" w:pos="262"/>
              </w:tabs>
              <w:rPr>
                <w:u w:val="none"/>
              </w:rPr>
            </w:pPr>
            <w:r>
              <w:rPr>
                <w:u w:val="none"/>
              </w:rPr>
              <w:t>Appropriate responses and actions to bullying behavior can prevent injury to self and to others.</w:t>
            </w:r>
          </w:p>
          <w:p w:rsidR="005F68ED" w:rsidRDefault="00ED06EB">
            <w:pPr>
              <w:pStyle w:val="BodyA"/>
              <w:numPr>
                <w:ilvl w:val="0"/>
                <w:numId w:val="21"/>
              </w:numPr>
              <w:tabs>
                <w:tab w:val="left" w:pos="262"/>
              </w:tabs>
            </w:pPr>
            <w:r>
              <w:rPr>
                <w:u w:val="none"/>
              </w:rPr>
              <w:t>A variety of school resources are available to students.</w:t>
            </w:r>
          </w:p>
        </w:tc>
      </w:tr>
      <w:tr w:rsidR="005F68ED">
        <w:trPr>
          <w:trHeight w:val="14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5F68ED" w:rsidRDefault="00ED06EB" w:rsidP="00D34E02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Vocabulary</w:t>
            </w:r>
            <w:r w:rsidR="00776A21">
              <w:rPr>
                <w:rFonts w:ascii="Arial Bold"/>
                <w:u w:val="none"/>
              </w:rPr>
              <w:t>/Content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BDF" w:rsidRDefault="00ED06EB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  <w:r>
              <w:rPr>
                <w:u w:val="none"/>
              </w:rPr>
              <w:t>bully, bystander,</w:t>
            </w:r>
            <w:r w:rsidR="00D151EA">
              <w:rPr>
                <w:u w:val="none"/>
              </w:rPr>
              <w:t xml:space="preserve"> </w:t>
            </w:r>
            <w:r>
              <w:rPr>
                <w:u w:val="none"/>
              </w:rPr>
              <w:t>teasing, c</w:t>
            </w:r>
            <w:r w:rsidR="00BA0BDF">
              <w:rPr>
                <w:u w:val="none"/>
              </w:rPr>
              <w:t>ourage, welcome and  unwelcome</w:t>
            </w:r>
          </w:p>
          <w:p w:rsidR="005F68ED" w:rsidRDefault="00ED06EB">
            <w:pPr>
              <w:pStyle w:val="BodyA"/>
              <w:tabs>
                <w:tab w:val="clear" w:pos="360"/>
              </w:tabs>
              <w:ind w:firstLine="0"/>
            </w:pPr>
            <w:r>
              <w:rPr>
                <w:u w:val="none"/>
              </w:rPr>
              <w:t>behavior, safe, healthy, trusted adults, school and community health helpers,  personal health risk, needs, wants, feelings, verbal and non-verbal communication, assistance, personal health behaviors</w:t>
            </w:r>
          </w:p>
        </w:tc>
      </w:tr>
      <w:tr w:rsidR="005F68ED">
        <w:trPr>
          <w:trHeight w:val="45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5F68ED" w:rsidRPr="00D34E02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Essential Skills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>
            <w:pPr>
              <w:pStyle w:val="BodyA"/>
              <w:ind w:firstLine="0"/>
              <w:rPr>
                <w:u w:val="none"/>
              </w:rPr>
            </w:pPr>
            <w:r>
              <w:t xml:space="preserve">- </w:t>
            </w:r>
            <w:r>
              <w:rPr>
                <w:u w:val="none"/>
              </w:rPr>
              <w:t xml:space="preserve">Use appropriate communication  skills to  ask for help when needed </w:t>
            </w:r>
          </w:p>
          <w:p w:rsidR="005F68ED" w:rsidRDefault="00ED06EB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>- Identify situations requiring adult professional help</w:t>
            </w:r>
          </w:p>
          <w:p w:rsidR="005F68ED" w:rsidRDefault="00ED06EB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- Demonstrate how to communicate positively  in conflict and bullying        situations </w:t>
            </w:r>
          </w:p>
          <w:p w:rsidR="005F68ED" w:rsidRDefault="00ED06EB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>- Identify factors that impact personal safety and well- being(bullying)</w:t>
            </w:r>
          </w:p>
          <w:p w:rsidR="005F68ED" w:rsidRDefault="00ED06EB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- Demonstrate an awareness of the necessity of reporting bullying   </w:t>
            </w:r>
            <w:r w:rsidR="00BA0BDF">
              <w:rPr>
                <w:u w:val="none"/>
              </w:rPr>
              <w:t xml:space="preserve">  </w:t>
            </w:r>
            <w:r>
              <w:rPr>
                <w:u w:val="none"/>
              </w:rPr>
              <w:t>behavior to school personnel  as soon as possible</w:t>
            </w:r>
          </w:p>
          <w:p w:rsidR="005F68ED" w:rsidRDefault="00ED06EB">
            <w:pPr>
              <w:pStyle w:val="BodyA"/>
              <w:ind w:firstLine="0"/>
            </w:pPr>
            <w:r>
              <w:rPr>
                <w:u w:val="none"/>
              </w:rPr>
              <w:t>- Identify resource people in school and community and how to seek their help in a bullying situation</w:t>
            </w:r>
          </w:p>
        </w:tc>
      </w:tr>
      <w:tr w:rsidR="005F68ED">
        <w:trPr>
          <w:trHeight w:val="1065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Pr="00E57B70" w:rsidRDefault="00ED06EB" w:rsidP="00D34E02">
            <w:pPr>
              <w:pStyle w:val="BodyA"/>
              <w:ind w:firstLine="0"/>
              <w:jc w:val="center"/>
              <w:rPr>
                <w:b/>
                <w:bCs/>
                <w:iCs/>
                <w:u w:val="none"/>
              </w:rPr>
            </w:pPr>
            <w:proofErr w:type="spellStart"/>
            <w:r w:rsidRPr="00E57B70">
              <w:rPr>
                <w:b/>
                <w:bCs/>
                <w:iCs/>
                <w:u w:val="none"/>
              </w:rPr>
              <w:lastRenderedPageBreak/>
              <w:t>ASCA</w:t>
            </w:r>
            <w:proofErr w:type="spellEnd"/>
            <w:r w:rsidR="00D34E02">
              <w:rPr>
                <w:b/>
                <w:bCs/>
                <w:iCs/>
                <w:u w:val="none"/>
              </w:rPr>
              <w:t xml:space="preserve"> </w:t>
            </w:r>
            <w:r w:rsidR="00E57B70">
              <w:rPr>
                <w:b/>
                <w:bCs/>
                <w:iCs/>
                <w:u w:val="none"/>
              </w:rPr>
              <w:t>Concepts</w:t>
            </w: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b/>
                <w:bCs/>
                <w:i/>
                <w:iCs/>
                <w:u w:val="none"/>
              </w:rPr>
            </w:pPr>
          </w:p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D34E02" w:rsidRDefault="00ED06EB" w:rsidP="00D34E02">
            <w:pPr>
              <w:pStyle w:val="BodyA"/>
              <w:ind w:firstLine="0"/>
              <w:jc w:val="center"/>
              <w:rPr>
                <w:rFonts w:ascii="Arial Bold"/>
                <w:u w:val="none"/>
              </w:rPr>
            </w:pPr>
            <w:r>
              <w:rPr>
                <w:rFonts w:ascii="Arial Bold"/>
                <w:u w:val="none"/>
              </w:rPr>
              <w:t>Related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 w:rsidR="00D34E02">
              <w:rPr>
                <w:rFonts w:ascii="Arial Bold"/>
                <w:u w:val="none"/>
              </w:rPr>
              <w:t>Maine</w:t>
            </w:r>
          </w:p>
          <w:p w:rsidR="005F68ED" w:rsidRPr="00D34E02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Learning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Results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Use communication skills to know when and how to ask for help when needed 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Learn about the difference between appropriate and inappropriate physical contact 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Demonstrate the ability to set boundaries and rights 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Differentiate  between situations requiring peer support and situations requiring adult professional help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Identify resource people in the school and community, and know how to seek their help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Apply effective problem solving and decision making skills to make safe and healthy choices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Demonstrate personal safety skills 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Demonstrate advocacy skills and ability to assert self,</w:t>
            </w:r>
            <w:r w:rsidR="00BA0BDF">
              <w:rPr>
                <w:rFonts w:ascii="Arial"/>
                <w:sz w:val="24"/>
                <w:szCs w:val="24"/>
              </w:rPr>
              <w:t xml:space="preserve"> </w:t>
            </w:r>
            <w:r>
              <w:rPr>
                <w:rFonts w:ascii="Arial"/>
                <w:sz w:val="24"/>
                <w:szCs w:val="24"/>
              </w:rPr>
              <w:t xml:space="preserve">when necessary </w:t>
            </w:r>
          </w:p>
          <w:p w:rsidR="005F68ED" w:rsidRDefault="005F68E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</w:p>
          <w:p w:rsidR="005F68ED" w:rsidRDefault="005F68E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A.4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Students describe ways a safe and healthy school and community environment can promote personal health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B.1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Students identify trusted adults and professionals who can help promote health.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B.2</w:t>
            </w:r>
            <w:proofErr w:type="spellEnd"/>
            <w:r>
              <w:rPr>
                <w:rFonts w:ascii="Arial"/>
                <w:sz w:val="24"/>
                <w:szCs w:val="24"/>
              </w:rPr>
              <w:t>. Students identify ways to locate school and community health helpers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C 2 Students demonstrate a variety of behaviors to avoid or reduce personal health risks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D. 1 b Identify what the school can do to support personal health practices and behaviors</w:t>
            </w:r>
          </w:p>
          <w:p w:rsidR="005F68ED" w:rsidRDefault="005F68E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E1.a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Demonstrate healthy ways to express heeds, wants and feelings,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E1b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Distinguish between verbal and nonverbal communication</w:t>
            </w: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E1c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make requests to promote personal health</w:t>
            </w:r>
          </w:p>
          <w:p w:rsidR="005F68ED" w:rsidRDefault="005F68E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</w:p>
          <w:p w:rsidR="005F68ED" w:rsidRDefault="00ED06EB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  <w:szCs w:val="24"/>
              </w:rPr>
              <w:t>E2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Students encourage others to make positive health choices</w:t>
            </w:r>
          </w:p>
          <w:p w:rsidR="005F68ED" w:rsidRDefault="00ED06EB">
            <w:pPr>
              <w:pStyle w:val="TableStyle2A"/>
            </w:pPr>
            <w:proofErr w:type="spellStart"/>
            <w:r>
              <w:rPr>
                <w:rFonts w:ascii="Arial"/>
                <w:sz w:val="24"/>
                <w:szCs w:val="24"/>
              </w:rPr>
              <w:t>F.1a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Differentiate between situations when health-related decisions can appropriately be made by the individual and when assistance is needed. </w:t>
            </w:r>
          </w:p>
        </w:tc>
      </w:tr>
      <w:tr w:rsidR="005F68ED">
        <w:trPr>
          <w:trHeight w:val="17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Sample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Lessons</w:t>
            </w:r>
          </w:p>
          <w:p w:rsidR="005F68ED" w:rsidRPr="00D34E02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And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Activities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 w:rsidP="00C616E7">
            <w:pPr>
              <w:pStyle w:val="BodyA"/>
              <w:numPr>
                <w:ilvl w:val="0"/>
                <w:numId w:val="22"/>
              </w:numPr>
              <w:rPr>
                <w:u w:val="none"/>
              </w:rPr>
            </w:pPr>
            <w:r>
              <w:rPr>
                <w:u w:val="none"/>
              </w:rPr>
              <w:t xml:space="preserve">Read  and discuss </w:t>
            </w:r>
            <w:r w:rsidRPr="00353C9B">
              <w:rPr>
                <w:i/>
                <w:u w:val="none"/>
              </w:rPr>
              <w:t>The Recess Queen</w:t>
            </w:r>
            <w:r>
              <w:rPr>
                <w:u w:val="none"/>
              </w:rPr>
              <w:t xml:space="preserve"> by O</w:t>
            </w:r>
            <w:r>
              <w:rPr>
                <w:rFonts w:hAnsi="Arial Unicode MS"/>
                <w:u w:val="none"/>
              </w:rPr>
              <w:t>’</w:t>
            </w:r>
            <w:r>
              <w:rPr>
                <w:u w:val="none"/>
              </w:rPr>
              <w:t>Neil</w:t>
            </w:r>
          </w:p>
          <w:p w:rsidR="005F68ED" w:rsidRDefault="00ED06EB" w:rsidP="00C616E7">
            <w:pPr>
              <w:pStyle w:val="BodyA"/>
              <w:numPr>
                <w:ilvl w:val="0"/>
                <w:numId w:val="22"/>
              </w:numPr>
              <w:rPr>
                <w:u w:val="none"/>
              </w:rPr>
            </w:pPr>
            <w:r>
              <w:rPr>
                <w:u w:val="none"/>
              </w:rPr>
              <w:t>Create T chart comparing teasing and bullying</w:t>
            </w:r>
            <w:r w:rsidR="00BA0BDF">
              <w:rPr>
                <w:u w:val="none"/>
              </w:rPr>
              <w:t>.</w:t>
            </w:r>
          </w:p>
          <w:p w:rsidR="00BA0BDF" w:rsidRDefault="00ED06EB" w:rsidP="00C616E7">
            <w:pPr>
              <w:pStyle w:val="BodyC"/>
              <w:numPr>
                <w:ilvl w:val="0"/>
                <w:numId w:val="22"/>
              </w:numPr>
              <w:rPr>
                <w:rFonts w:ascii="Arial"/>
              </w:rPr>
            </w:pPr>
            <w:r>
              <w:rPr>
                <w:rFonts w:ascii="Arial"/>
              </w:rPr>
              <w:t>Create school and bus maps w</w:t>
            </w:r>
            <w:r w:rsidR="00BA0BDF">
              <w:rPr>
                <w:rFonts w:ascii="Arial"/>
              </w:rPr>
              <w:t>ith students noting areas where</w:t>
            </w:r>
          </w:p>
          <w:p w:rsidR="005F68ED" w:rsidRDefault="00ED06EB" w:rsidP="00C616E7">
            <w:pPr>
              <w:pStyle w:val="BodyC"/>
              <w:numPr>
                <w:ilvl w:val="0"/>
                <w:numId w:val="22"/>
              </w:numPr>
            </w:pPr>
            <w:proofErr w:type="gramStart"/>
            <w:r>
              <w:rPr>
                <w:rFonts w:ascii="Arial"/>
              </w:rPr>
              <w:t>students</w:t>
            </w:r>
            <w:proofErr w:type="gramEnd"/>
            <w:r>
              <w:rPr>
                <w:rFonts w:ascii="Arial"/>
              </w:rPr>
              <w:t xml:space="preserve"> felt safe </w:t>
            </w:r>
            <w:r w:rsidR="00BA0BDF">
              <w:rPr>
                <w:rFonts w:ascii="Arial"/>
              </w:rPr>
              <w:t>and unsafe. Discuss and problem</w:t>
            </w:r>
            <w:r>
              <w:rPr>
                <w:rFonts w:ascii="Arial"/>
              </w:rPr>
              <w:t>-solve findings with students.</w:t>
            </w:r>
            <w:bookmarkStart w:id="0" w:name="_GoBack"/>
            <w:bookmarkEnd w:id="0"/>
          </w:p>
        </w:tc>
      </w:tr>
      <w:tr w:rsidR="005F68ED">
        <w:trPr>
          <w:trHeight w:val="145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lastRenderedPageBreak/>
              <w:t>Sample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Classroom</w:t>
            </w:r>
          </w:p>
          <w:p w:rsidR="005F68ED" w:rsidRPr="00D34E02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Assessment</w:t>
            </w:r>
            <w:r w:rsidR="00D34E02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Methods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ED06EB">
            <w:pPr>
              <w:pStyle w:val="BodyB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 demonstrate understanding of appropriate language and actions during role plays and discussion.</w:t>
            </w:r>
          </w:p>
          <w:p w:rsidR="005F68ED" w:rsidRDefault="00ED06EB">
            <w:pPr>
              <w:pStyle w:val="BodyB"/>
              <w:rPr>
                <w:rFonts w:ascii="Arial"/>
              </w:rPr>
            </w:pPr>
            <w:r>
              <w:rPr>
                <w:rFonts w:ascii="Arial"/>
              </w:rPr>
              <w:t>Students identify what constitutes bullying behavior and be able to name safe adults to report bullying situations.</w:t>
            </w:r>
          </w:p>
          <w:p w:rsidR="005F68ED" w:rsidRDefault="00506DC7" w:rsidP="00506DC7">
            <w:pPr>
              <w:pStyle w:val="BodyB"/>
            </w:pPr>
            <w:r>
              <w:rPr>
                <w:rFonts w:ascii="Arial"/>
              </w:rPr>
              <w:t>Create school and bus maps with students noting areas where students felt safe and unsafe. Discuss and problem -</w:t>
            </w:r>
            <w:r w:rsidR="00692AB0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solve findings with students</w:t>
            </w:r>
            <w:r w:rsidR="00692AB0">
              <w:rPr>
                <w:rFonts w:ascii="Arial"/>
              </w:rPr>
              <w:t>.</w:t>
            </w:r>
            <w:r w:rsidR="00ED06EB">
              <w:t xml:space="preserve"> </w:t>
            </w:r>
          </w:p>
        </w:tc>
      </w:tr>
      <w:tr w:rsidR="005F68ED">
        <w:trPr>
          <w:trHeight w:val="513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5F68ED" w:rsidRDefault="00ED06EB" w:rsidP="00D34E02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Sample</w:t>
            </w:r>
          </w:p>
          <w:p w:rsidR="005F68ED" w:rsidRDefault="00ED06EB" w:rsidP="00D34E02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Resources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8ED" w:rsidRDefault="005F68ED" w:rsidP="006E0435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</w:p>
          <w:p w:rsidR="005F68ED" w:rsidRDefault="00ED06EB" w:rsidP="006E0435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Big Deals and Little Deals and</w:t>
            </w:r>
            <w:r w:rsidR="00692AB0" w:rsidRPr="006E0435">
              <w:rPr>
                <w:i/>
                <w:u w:val="none"/>
              </w:rPr>
              <w:t xml:space="preserve"> What to do When They Happen </w:t>
            </w:r>
            <w:r w:rsidRPr="006E0435">
              <w:rPr>
                <w:i/>
                <w:u w:val="none"/>
              </w:rPr>
              <w:t>to You</w:t>
            </w:r>
            <w:r>
              <w:t xml:space="preserve"> </w:t>
            </w:r>
            <w:r>
              <w:rPr>
                <w:u w:val="none"/>
              </w:rPr>
              <w:t xml:space="preserve">by Kim </w:t>
            </w:r>
            <w:proofErr w:type="spellStart"/>
            <w:r>
              <w:rPr>
                <w:u w:val="none"/>
              </w:rPr>
              <w:t>Edminster</w:t>
            </w:r>
            <w:proofErr w:type="spellEnd"/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The Recess Queen</w:t>
            </w:r>
            <w:r>
              <w:t xml:space="preserve"> </w:t>
            </w:r>
            <w:r>
              <w:rPr>
                <w:u w:val="none"/>
              </w:rPr>
              <w:t>by O</w:t>
            </w:r>
            <w:r>
              <w:rPr>
                <w:rFonts w:hAnsi="Arial Unicode MS"/>
                <w:u w:val="none"/>
              </w:rPr>
              <w:t>’</w:t>
            </w:r>
            <w:r>
              <w:rPr>
                <w:u w:val="none"/>
              </w:rPr>
              <w:t xml:space="preserve">Neil </w:t>
            </w:r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Bully Proofing  Your Schoo</w:t>
            </w:r>
            <w:r w:rsidR="006E0435" w:rsidRPr="006E0435">
              <w:rPr>
                <w:i/>
                <w:u w:val="none"/>
              </w:rPr>
              <w:t>l</w:t>
            </w:r>
            <w:r w:rsidR="006E0435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by </w:t>
            </w:r>
            <w:proofErr w:type="spellStart"/>
            <w:r>
              <w:rPr>
                <w:u w:val="none"/>
              </w:rPr>
              <w:t>Garrity</w:t>
            </w:r>
            <w:proofErr w:type="spellEnd"/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Stand Tall Molly Lou Melon</w:t>
            </w:r>
            <w:r>
              <w:rPr>
                <w:u w:val="none"/>
              </w:rPr>
              <w:t xml:space="preserve"> by Patty Lovell</w:t>
            </w:r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King of the Playground</w:t>
            </w:r>
            <w:r w:rsidR="006E0435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by </w:t>
            </w:r>
            <w:proofErr w:type="spellStart"/>
            <w:r>
              <w:rPr>
                <w:u w:val="none"/>
              </w:rPr>
              <w:t>Phyliss</w:t>
            </w:r>
            <w:proofErr w:type="spellEnd"/>
            <w:r>
              <w:rPr>
                <w:u w:val="none"/>
              </w:rPr>
              <w:t xml:space="preserve"> Naylor</w:t>
            </w:r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Chrysanthemum</w:t>
            </w:r>
            <w:r>
              <w:rPr>
                <w:u w:val="none"/>
              </w:rPr>
              <w:t xml:space="preserve"> by Kevin </w:t>
            </w:r>
            <w:proofErr w:type="spellStart"/>
            <w:r>
              <w:rPr>
                <w:u w:val="none"/>
              </w:rPr>
              <w:t>Henkes</w:t>
            </w:r>
            <w:proofErr w:type="spellEnd"/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 w:rsidRPr="006E0435">
              <w:rPr>
                <w:i/>
                <w:u w:val="none"/>
              </w:rPr>
              <w:t>Oliver Button is a Sissy</w:t>
            </w:r>
            <w:r w:rsidR="006E0435">
              <w:rPr>
                <w:i/>
                <w:iCs/>
                <w:u w:val="none"/>
              </w:rPr>
              <w:t xml:space="preserve"> </w:t>
            </w:r>
            <w:r w:rsidRPr="00692AB0">
              <w:rPr>
                <w:iCs/>
                <w:u w:val="none"/>
              </w:rPr>
              <w:t>by</w:t>
            </w:r>
            <w:r>
              <w:rPr>
                <w:i/>
                <w:iCs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Tomie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Depaola</w:t>
            </w:r>
            <w:proofErr w:type="spellEnd"/>
          </w:p>
          <w:p w:rsidR="005F68ED" w:rsidRDefault="00ED06EB" w:rsidP="006E0435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CD </w:t>
            </w:r>
            <w:r>
              <w:t>B</w:t>
            </w:r>
            <w:r w:rsidRPr="006E0435">
              <w:rPr>
                <w:i/>
                <w:u w:val="none"/>
              </w:rPr>
              <w:t xml:space="preserve">ig Deals and Little Deals and What to do When They Happen to You </w:t>
            </w:r>
            <w:r>
              <w:rPr>
                <w:u w:val="none"/>
              </w:rPr>
              <w:t xml:space="preserve">by Kim </w:t>
            </w:r>
            <w:proofErr w:type="spellStart"/>
            <w:r>
              <w:rPr>
                <w:u w:val="none"/>
              </w:rPr>
              <w:t>Edminster</w:t>
            </w:r>
            <w:proofErr w:type="spellEnd"/>
          </w:p>
          <w:p w:rsidR="005F68ED" w:rsidRDefault="00ED06EB" w:rsidP="006E0435">
            <w:pPr>
              <w:pStyle w:val="BodyA"/>
              <w:ind w:firstLine="0"/>
            </w:pPr>
            <w:r w:rsidRPr="006E0435">
              <w:rPr>
                <w:i/>
                <w:u w:val="none"/>
              </w:rPr>
              <w:t>Quit It</w:t>
            </w:r>
            <w:r>
              <w:rPr>
                <w:u w:val="none"/>
              </w:rPr>
              <w:t xml:space="preserve"> by </w:t>
            </w:r>
            <w:proofErr w:type="spellStart"/>
            <w:r>
              <w:rPr>
                <w:u w:val="none"/>
              </w:rPr>
              <w:t>Froschl</w:t>
            </w:r>
            <w:proofErr w:type="spellEnd"/>
            <w:r>
              <w:rPr>
                <w:u w:val="none"/>
              </w:rPr>
              <w:t>, Sprung, and Mullin-</w:t>
            </w:r>
            <w:proofErr w:type="spellStart"/>
            <w:r>
              <w:rPr>
                <w:u w:val="none"/>
              </w:rPr>
              <w:t>Rindler</w:t>
            </w:r>
            <w:proofErr w:type="spellEnd"/>
            <w:r>
              <w:rPr>
                <w:u w:val="none"/>
              </w:rPr>
              <w:t xml:space="preserve"> Educational Equity Concepts, Inc</w:t>
            </w:r>
            <w:r w:rsidR="00692AB0">
              <w:rPr>
                <w:u w:val="none"/>
              </w:rPr>
              <w:t>.</w:t>
            </w:r>
          </w:p>
        </w:tc>
      </w:tr>
    </w:tbl>
    <w:p w:rsidR="005F68ED" w:rsidRDefault="005F68ED">
      <w:pPr>
        <w:pStyle w:val="BodyA"/>
      </w:pPr>
    </w:p>
    <w:p w:rsidR="005F68ED" w:rsidRDefault="005F68ED">
      <w:pPr>
        <w:pStyle w:val="BodyA"/>
      </w:pPr>
    </w:p>
    <w:p w:rsidR="005F68ED" w:rsidRDefault="005F68ED">
      <w:pPr>
        <w:pStyle w:val="BodyA"/>
      </w:pPr>
    </w:p>
    <w:p w:rsidR="005F68ED" w:rsidRDefault="005F68ED">
      <w:pPr>
        <w:pStyle w:val="BodyA"/>
      </w:pPr>
    </w:p>
    <w:p w:rsidR="005F68ED" w:rsidRDefault="005F68ED">
      <w:pPr>
        <w:pStyle w:val="BodyA"/>
      </w:pPr>
    </w:p>
    <w:p w:rsidR="005F68ED" w:rsidRDefault="00ED06EB" w:rsidP="0041655D">
      <w:pPr>
        <w:pStyle w:val="BodyA"/>
        <w:ind w:left="108" w:firstLine="612"/>
      </w:pPr>
      <w:r>
        <w:br/>
      </w:r>
    </w:p>
    <w:sectPr w:rsidR="005F6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61" w:rsidRDefault="005F5161">
      <w:r>
        <w:separator/>
      </w:r>
    </w:p>
  </w:endnote>
  <w:endnote w:type="continuationSeparator" w:id="0">
    <w:p w:rsidR="005F5161" w:rsidRDefault="005F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29" w:rsidRDefault="00245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ED" w:rsidRDefault="00ED06E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616E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29" w:rsidRDefault="0024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61" w:rsidRDefault="005F5161">
      <w:r>
        <w:separator/>
      </w:r>
    </w:p>
  </w:footnote>
  <w:footnote w:type="continuationSeparator" w:id="0">
    <w:p w:rsidR="005F5161" w:rsidRDefault="005F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29" w:rsidRDefault="00245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29" w:rsidRDefault="00245329" w:rsidP="00245329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K-2</w:t>
    </w:r>
  </w:p>
  <w:p w:rsidR="00245329" w:rsidRDefault="00245329" w:rsidP="00245329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5F68ED" w:rsidRDefault="00245329" w:rsidP="00245329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1: Bullying Prevention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29" w:rsidRDefault="00245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0BE1"/>
    <w:multiLevelType w:val="multilevel"/>
    <w:tmpl w:val="B9DA65B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" w15:restartNumberingAfterBreak="0">
    <w:nsid w:val="207264FB"/>
    <w:multiLevelType w:val="multilevel"/>
    <w:tmpl w:val="708E5A1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624000"/>
    <w:multiLevelType w:val="multilevel"/>
    <w:tmpl w:val="E5DCDB8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270DC1"/>
    <w:multiLevelType w:val="multilevel"/>
    <w:tmpl w:val="C0FE43F6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 w15:restartNumberingAfterBreak="0">
    <w:nsid w:val="2CCE07C1"/>
    <w:multiLevelType w:val="multilevel"/>
    <w:tmpl w:val="52DE86FA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486C94"/>
    <w:multiLevelType w:val="multilevel"/>
    <w:tmpl w:val="54A6EA98"/>
    <w:styleLink w:val="List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05391A"/>
    <w:multiLevelType w:val="multilevel"/>
    <w:tmpl w:val="CFE073FE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371C05"/>
    <w:multiLevelType w:val="multilevel"/>
    <w:tmpl w:val="518CEC9C"/>
    <w:styleLink w:val="ImportedStyle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77398E"/>
    <w:multiLevelType w:val="hybridMultilevel"/>
    <w:tmpl w:val="862C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487C"/>
    <w:multiLevelType w:val="multilevel"/>
    <w:tmpl w:val="10781F4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0" w15:restartNumberingAfterBreak="0">
    <w:nsid w:val="49EA5D9A"/>
    <w:multiLevelType w:val="multilevel"/>
    <w:tmpl w:val="54D61DE8"/>
    <w:styleLink w:val="List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B603C1"/>
    <w:multiLevelType w:val="multilevel"/>
    <w:tmpl w:val="558C664C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954B52"/>
    <w:multiLevelType w:val="multilevel"/>
    <w:tmpl w:val="7660A6B2"/>
    <w:styleLink w:val="ImportedStyle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A62213"/>
    <w:multiLevelType w:val="multilevel"/>
    <w:tmpl w:val="BC2A195E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61C28AE"/>
    <w:multiLevelType w:val="multilevel"/>
    <w:tmpl w:val="A0EE44E2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35B5432"/>
    <w:multiLevelType w:val="multilevel"/>
    <w:tmpl w:val="AAC0303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6B7F5C"/>
    <w:multiLevelType w:val="multilevel"/>
    <w:tmpl w:val="A5867FDA"/>
    <w:styleLink w:val="List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7683F59"/>
    <w:multiLevelType w:val="multilevel"/>
    <w:tmpl w:val="0146238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8" w15:restartNumberingAfterBreak="0">
    <w:nsid w:val="6D6F1CEB"/>
    <w:multiLevelType w:val="multilevel"/>
    <w:tmpl w:val="35B48098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9A3B9E"/>
    <w:multiLevelType w:val="multilevel"/>
    <w:tmpl w:val="A3F2247E"/>
    <w:styleLink w:val="ImportedStyle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583739"/>
    <w:multiLevelType w:val="multilevel"/>
    <w:tmpl w:val="9348C77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1" w15:restartNumberingAfterBreak="0">
    <w:nsid w:val="7FE24D65"/>
    <w:multiLevelType w:val="multilevel"/>
    <w:tmpl w:val="E010799E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1"/>
  </w:num>
  <w:num w:numId="5">
    <w:abstractNumId w:val="0"/>
  </w:num>
  <w:num w:numId="6">
    <w:abstractNumId w:val="18"/>
  </w:num>
  <w:num w:numId="7">
    <w:abstractNumId w:val="15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19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ED"/>
    <w:rsid w:val="0010704E"/>
    <w:rsid w:val="001D27CA"/>
    <w:rsid w:val="00245329"/>
    <w:rsid w:val="00310758"/>
    <w:rsid w:val="00353C9B"/>
    <w:rsid w:val="0041655D"/>
    <w:rsid w:val="00506DC7"/>
    <w:rsid w:val="005F5161"/>
    <w:rsid w:val="005F68ED"/>
    <w:rsid w:val="00692AB0"/>
    <w:rsid w:val="006E0435"/>
    <w:rsid w:val="00776A21"/>
    <w:rsid w:val="00A11A1A"/>
    <w:rsid w:val="00AC462B"/>
    <w:rsid w:val="00AD3E3E"/>
    <w:rsid w:val="00BA0BDF"/>
    <w:rsid w:val="00C616E7"/>
    <w:rsid w:val="00D151EA"/>
    <w:rsid w:val="00D34E02"/>
    <w:rsid w:val="00E57B70"/>
    <w:rsid w:val="00E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A59E0-68D6-488B-BC6B-8342581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tabs>
        <w:tab w:val="left" w:pos="360"/>
      </w:tabs>
      <w:ind w:firstLine="720"/>
    </w:pPr>
    <w:rPr>
      <w:rFonts w:ascii="Arial" w:eastAsia="Arial" w:hAnsi="Arial" w:cs="Arial"/>
      <w:color w:val="000000"/>
      <w:sz w:val="24"/>
      <w:szCs w:val="24"/>
      <w:u w:val="single" w:color="000000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paragraph" w:customStyle="1" w:styleId="BodyC">
    <w:name w:val="Body 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245329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9</cp:revision>
  <cp:lastPrinted>2016-04-27T11:46:00Z</cp:lastPrinted>
  <dcterms:created xsi:type="dcterms:W3CDTF">2016-03-31T11:50:00Z</dcterms:created>
  <dcterms:modified xsi:type="dcterms:W3CDTF">2016-04-27T11:52:00Z</dcterms:modified>
</cp:coreProperties>
</file>