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10C" w:rsidRDefault="00317ADF" w:rsidP="009601FE">
      <w:pPr>
        <w:jc w:val="center"/>
        <w:rPr>
          <w:sz w:val="28"/>
          <w:szCs w:val="28"/>
        </w:rPr>
      </w:pPr>
      <w:r>
        <w:rPr>
          <w:sz w:val="28"/>
          <w:szCs w:val="28"/>
        </w:rPr>
        <w:t xml:space="preserve">Grade 2 </w:t>
      </w:r>
      <w:r w:rsidR="009601FE" w:rsidRPr="00EC0401">
        <w:rPr>
          <w:sz w:val="28"/>
          <w:szCs w:val="28"/>
        </w:rPr>
        <w:t>Appendix</w:t>
      </w:r>
    </w:p>
    <w:p w:rsidR="007A66A9" w:rsidRPr="00EC0401" w:rsidRDefault="007A66A9" w:rsidP="009601FE">
      <w:pPr>
        <w:jc w:val="center"/>
        <w:rPr>
          <w:sz w:val="28"/>
          <w:szCs w:val="28"/>
        </w:rPr>
      </w:pPr>
      <w:r>
        <w:rPr>
          <w:sz w:val="28"/>
          <w:szCs w:val="28"/>
        </w:rPr>
        <w:t>2BRH</w:t>
      </w:r>
    </w:p>
    <w:p w:rsidR="009601FE" w:rsidRPr="00EC0401" w:rsidRDefault="009601FE" w:rsidP="009601FE">
      <w:pPr>
        <w:jc w:val="center"/>
        <w:rPr>
          <w:sz w:val="28"/>
          <w:szCs w:val="28"/>
        </w:rPr>
      </w:pPr>
      <w:r w:rsidRPr="00EC0401">
        <w:rPr>
          <w:sz w:val="28"/>
          <w:szCs w:val="28"/>
        </w:rPr>
        <w:t>Building Reading Habits</w:t>
      </w:r>
    </w:p>
    <w:tbl>
      <w:tblPr>
        <w:tblStyle w:val="TableGrid"/>
        <w:tblW w:w="9637" w:type="dxa"/>
        <w:tblLook w:val="04A0" w:firstRow="1" w:lastRow="0" w:firstColumn="1" w:lastColumn="0" w:noHBand="0" w:noVBand="1"/>
      </w:tblPr>
      <w:tblGrid>
        <w:gridCol w:w="3169"/>
        <w:gridCol w:w="6468"/>
      </w:tblGrid>
      <w:tr w:rsidR="009601FE" w:rsidTr="002D1CB1">
        <w:trPr>
          <w:trHeight w:val="3392"/>
        </w:trPr>
        <w:tc>
          <w:tcPr>
            <w:tcW w:w="3169" w:type="dxa"/>
          </w:tcPr>
          <w:p w:rsidR="009601FE" w:rsidRPr="00EC0401" w:rsidRDefault="009601FE" w:rsidP="00EC0401">
            <w:pPr>
              <w:jc w:val="center"/>
              <w:rPr>
                <w:b/>
                <w:sz w:val="24"/>
                <w:szCs w:val="24"/>
              </w:rPr>
            </w:pPr>
            <w:r w:rsidRPr="00EC0401">
              <w:rPr>
                <w:b/>
                <w:sz w:val="24"/>
                <w:szCs w:val="24"/>
              </w:rPr>
              <w:t>Phonics and Word Recognition</w:t>
            </w:r>
          </w:p>
        </w:tc>
        <w:tc>
          <w:tcPr>
            <w:tcW w:w="6468" w:type="dxa"/>
          </w:tcPr>
          <w:p w:rsidR="00317ADF" w:rsidRPr="00317ADF" w:rsidRDefault="00317ADF" w:rsidP="00317ADF">
            <w:pPr>
              <w:rPr>
                <w:sz w:val="24"/>
                <w:szCs w:val="24"/>
              </w:rPr>
            </w:pPr>
            <w:r>
              <w:rPr>
                <w:sz w:val="24"/>
                <w:szCs w:val="24"/>
              </w:rPr>
              <w:t>•</w:t>
            </w:r>
            <w:r w:rsidRPr="00317ADF">
              <w:rPr>
                <w:sz w:val="24"/>
                <w:szCs w:val="24"/>
              </w:rPr>
              <w:t>Distinguish long and short vowels when reading regularly spelled one-syllable words.</w:t>
            </w:r>
          </w:p>
          <w:p w:rsidR="00317ADF" w:rsidRPr="00317ADF" w:rsidRDefault="00317ADF" w:rsidP="00317ADF">
            <w:pPr>
              <w:rPr>
                <w:sz w:val="24"/>
                <w:szCs w:val="24"/>
              </w:rPr>
            </w:pPr>
            <w:r>
              <w:rPr>
                <w:sz w:val="24"/>
                <w:szCs w:val="24"/>
              </w:rPr>
              <w:t>•</w:t>
            </w:r>
            <w:r w:rsidRPr="00317ADF">
              <w:rPr>
                <w:sz w:val="24"/>
                <w:szCs w:val="24"/>
              </w:rPr>
              <w:t>Know spelling-sound correspondence for additional common vowel teams.</w:t>
            </w:r>
          </w:p>
          <w:p w:rsidR="00317ADF" w:rsidRPr="00317ADF" w:rsidRDefault="00317ADF" w:rsidP="00317ADF">
            <w:pPr>
              <w:rPr>
                <w:sz w:val="24"/>
                <w:szCs w:val="24"/>
              </w:rPr>
            </w:pPr>
            <w:r>
              <w:rPr>
                <w:sz w:val="24"/>
                <w:szCs w:val="24"/>
              </w:rPr>
              <w:t>•</w:t>
            </w:r>
            <w:r w:rsidRPr="00317ADF">
              <w:rPr>
                <w:sz w:val="24"/>
                <w:szCs w:val="24"/>
              </w:rPr>
              <w:t>Decode regularly spelled two-syllable words with long vowels.</w:t>
            </w:r>
          </w:p>
          <w:p w:rsidR="00317ADF" w:rsidRPr="00317ADF" w:rsidRDefault="00317ADF" w:rsidP="00317ADF">
            <w:pPr>
              <w:rPr>
                <w:sz w:val="24"/>
                <w:szCs w:val="24"/>
              </w:rPr>
            </w:pPr>
            <w:r>
              <w:rPr>
                <w:sz w:val="24"/>
                <w:szCs w:val="24"/>
              </w:rPr>
              <w:t>•</w:t>
            </w:r>
            <w:r w:rsidRPr="00317ADF">
              <w:rPr>
                <w:sz w:val="24"/>
                <w:szCs w:val="24"/>
              </w:rPr>
              <w:t>Decode words with common prefixes and suffixes.</w:t>
            </w:r>
          </w:p>
          <w:p w:rsidR="00317ADF" w:rsidRPr="00317ADF" w:rsidRDefault="00317ADF" w:rsidP="00317ADF">
            <w:pPr>
              <w:rPr>
                <w:sz w:val="24"/>
                <w:szCs w:val="24"/>
              </w:rPr>
            </w:pPr>
            <w:r>
              <w:rPr>
                <w:sz w:val="24"/>
                <w:szCs w:val="24"/>
              </w:rPr>
              <w:t>•</w:t>
            </w:r>
            <w:r w:rsidRPr="00317ADF">
              <w:rPr>
                <w:sz w:val="24"/>
                <w:szCs w:val="24"/>
              </w:rPr>
              <w:t>Identify words with inconsistent but common spelling-sound correspondence.</w:t>
            </w:r>
          </w:p>
          <w:p w:rsidR="00EC0401" w:rsidRPr="00EC0401" w:rsidRDefault="00317ADF" w:rsidP="00317ADF">
            <w:pPr>
              <w:rPr>
                <w:sz w:val="24"/>
                <w:szCs w:val="24"/>
              </w:rPr>
            </w:pPr>
            <w:r>
              <w:rPr>
                <w:sz w:val="24"/>
                <w:szCs w:val="24"/>
              </w:rPr>
              <w:t>•</w:t>
            </w:r>
            <w:r w:rsidRPr="00317ADF">
              <w:rPr>
                <w:sz w:val="24"/>
                <w:szCs w:val="24"/>
              </w:rPr>
              <w:t>Recognize and read grade-appropriate irregularly spelled words</w:t>
            </w:r>
          </w:p>
        </w:tc>
      </w:tr>
      <w:tr w:rsidR="009601FE" w:rsidTr="002D1CB1">
        <w:trPr>
          <w:trHeight w:val="3770"/>
        </w:trPr>
        <w:tc>
          <w:tcPr>
            <w:tcW w:w="3169" w:type="dxa"/>
          </w:tcPr>
          <w:p w:rsidR="009601FE" w:rsidRPr="00EC0401" w:rsidRDefault="009601FE" w:rsidP="00EC0401">
            <w:pPr>
              <w:jc w:val="center"/>
              <w:rPr>
                <w:b/>
                <w:sz w:val="24"/>
                <w:szCs w:val="24"/>
              </w:rPr>
            </w:pPr>
            <w:r w:rsidRPr="00EC0401">
              <w:rPr>
                <w:b/>
                <w:sz w:val="24"/>
                <w:szCs w:val="24"/>
              </w:rPr>
              <w:t>Vocabulary</w:t>
            </w:r>
          </w:p>
        </w:tc>
        <w:tc>
          <w:tcPr>
            <w:tcW w:w="6468" w:type="dxa"/>
          </w:tcPr>
          <w:p w:rsidR="00317ADF" w:rsidRPr="00317ADF" w:rsidRDefault="00317ADF" w:rsidP="00317ADF">
            <w:pPr>
              <w:rPr>
                <w:rFonts w:cs="Arial"/>
              </w:rPr>
            </w:pPr>
            <w:r>
              <w:rPr>
                <w:rFonts w:cs="Arial"/>
              </w:rPr>
              <w:t>•</w:t>
            </w:r>
            <w:r w:rsidRPr="00317ADF">
              <w:rPr>
                <w:rFonts w:cs="Arial"/>
              </w:rPr>
              <w:t>Determine the meaning of the new word formed when a known prefix is added to a known word (e.g., happy/unhappy; tell/retell).</w:t>
            </w:r>
          </w:p>
          <w:p w:rsidR="00317ADF" w:rsidRPr="00317ADF" w:rsidRDefault="00317ADF" w:rsidP="00317ADF">
            <w:pPr>
              <w:rPr>
                <w:rFonts w:cs="Arial"/>
              </w:rPr>
            </w:pPr>
            <w:r>
              <w:rPr>
                <w:rFonts w:cs="Arial"/>
              </w:rPr>
              <w:t>•</w:t>
            </w:r>
            <w:r w:rsidRPr="00317ADF">
              <w:rPr>
                <w:rFonts w:cs="Arial"/>
              </w:rPr>
              <w:t>Use a known root word as a clue to the meaning of an unknown word with the same root (e.g., addition, additional).</w:t>
            </w:r>
          </w:p>
          <w:p w:rsidR="00317ADF" w:rsidRPr="00317ADF" w:rsidRDefault="00317ADF" w:rsidP="00317ADF">
            <w:pPr>
              <w:rPr>
                <w:rFonts w:cs="Arial"/>
              </w:rPr>
            </w:pPr>
            <w:r>
              <w:rPr>
                <w:rFonts w:cs="Arial"/>
              </w:rPr>
              <w:t>•</w:t>
            </w:r>
            <w:r w:rsidRPr="00317ADF">
              <w:rPr>
                <w:rFonts w:cs="Arial"/>
              </w:rPr>
              <w:t xml:space="preserve">Use knowledge of the meaning of individual words to predict the meaning of compound words (e.g., birdhouse, lighthouse, housefly, bookshelf, notebook, </w:t>
            </w:r>
            <w:proofErr w:type="gramStart"/>
            <w:r w:rsidRPr="00317ADF">
              <w:rPr>
                <w:rFonts w:cs="Arial"/>
              </w:rPr>
              <w:t>bookmark</w:t>
            </w:r>
            <w:proofErr w:type="gramEnd"/>
            <w:r w:rsidRPr="00317ADF">
              <w:rPr>
                <w:rFonts w:cs="Arial"/>
              </w:rPr>
              <w:t xml:space="preserve">). </w:t>
            </w:r>
          </w:p>
          <w:p w:rsidR="00317ADF" w:rsidRPr="00317ADF" w:rsidRDefault="00317ADF" w:rsidP="00317ADF">
            <w:pPr>
              <w:rPr>
                <w:rFonts w:cs="Arial"/>
              </w:rPr>
            </w:pPr>
            <w:r>
              <w:rPr>
                <w:rFonts w:cs="Arial"/>
              </w:rPr>
              <w:t>•</w:t>
            </w:r>
            <w:r w:rsidRPr="00317ADF">
              <w:rPr>
                <w:rFonts w:cs="Arial"/>
              </w:rPr>
              <w:t>Identify real-life connections between words and their use (e.g., describe foods that are spicy or juicy).</w:t>
            </w:r>
          </w:p>
          <w:p w:rsidR="009601FE" w:rsidRDefault="00317ADF" w:rsidP="00317ADF">
            <w:pPr>
              <w:rPr>
                <w:rFonts w:cs="Arial"/>
              </w:rPr>
            </w:pPr>
            <w:r>
              <w:rPr>
                <w:rFonts w:cs="Arial"/>
              </w:rPr>
              <w:t>•</w:t>
            </w:r>
            <w:r w:rsidRPr="00317ADF">
              <w:rPr>
                <w:rFonts w:cs="Arial"/>
              </w:rPr>
              <w:t>Distinguish shades of meaning among closely related verbs (e.g., toss, throw, hurl) and closely related adjectives (e.g., thin, slender, skinny, scrawny).</w:t>
            </w:r>
            <w:r w:rsidR="002245C3" w:rsidRPr="00317ADF">
              <w:rPr>
                <w:rFonts w:cs="Arial"/>
              </w:rPr>
              <w:t xml:space="preserve"> </w:t>
            </w:r>
          </w:p>
          <w:p w:rsidR="002D1CB1" w:rsidRDefault="002D1CB1" w:rsidP="00317ADF">
            <w:pPr>
              <w:rPr>
                <w:sz w:val="24"/>
                <w:szCs w:val="24"/>
              </w:rPr>
            </w:pPr>
            <w:r>
              <w:rPr>
                <w:sz w:val="24"/>
                <w:szCs w:val="24"/>
              </w:rPr>
              <w:t>•</w:t>
            </w:r>
            <w:r w:rsidRPr="002D1CB1">
              <w:rPr>
                <w:sz w:val="24"/>
                <w:szCs w:val="24"/>
              </w:rPr>
              <w:t>Use glossaries and beginning dictionaries, both print and digital, to determine or clarify the meaning of words and phrases.</w:t>
            </w:r>
          </w:p>
          <w:p w:rsidR="002D1CB1" w:rsidRPr="00EC0401" w:rsidRDefault="002D1CB1" w:rsidP="002D1CB1">
            <w:pPr>
              <w:rPr>
                <w:sz w:val="24"/>
                <w:szCs w:val="24"/>
              </w:rPr>
            </w:pPr>
            <w:r w:rsidRPr="002D1CB1">
              <w:rPr>
                <w:sz w:val="24"/>
                <w:szCs w:val="24"/>
              </w:rPr>
              <w:t>• Use sentence level context as a clue to the meaning of a word or phrase.</w:t>
            </w:r>
            <w:r w:rsidRPr="002D1CB1">
              <w:rPr>
                <w:sz w:val="24"/>
                <w:szCs w:val="24"/>
              </w:rPr>
              <w:tab/>
            </w:r>
          </w:p>
        </w:tc>
      </w:tr>
      <w:tr w:rsidR="009601FE" w:rsidTr="002D1CB1">
        <w:trPr>
          <w:trHeight w:val="4089"/>
        </w:trPr>
        <w:tc>
          <w:tcPr>
            <w:tcW w:w="3169" w:type="dxa"/>
          </w:tcPr>
          <w:p w:rsidR="009601FE" w:rsidRPr="00EC0401" w:rsidRDefault="009601FE" w:rsidP="00EC0401">
            <w:pPr>
              <w:jc w:val="center"/>
              <w:rPr>
                <w:b/>
                <w:sz w:val="24"/>
                <w:szCs w:val="24"/>
              </w:rPr>
            </w:pPr>
            <w:r w:rsidRPr="00EC0401">
              <w:rPr>
                <w:b/>
                <w:sz w:val="24"/>
                <w:szCs w:val="24"/>
              </w:rPr>
              <w:lastRenderedPageBreak/>
              <w:t>Knowledge of Language and Conventions</w:t>
            </w:r>
          </w:p>
        </w:tc>
        <w:tc>
          <w:tcPr>
            <w:tcW w:w="6468" w:type="dxa"/>
          </w:tcPr>
          <w:p w:rsidR="00317ADF" w:rsidRPr="00317ADF" w:rsidRDefault="00317ADF" w:rsidP="00317ADF">
            <w:pPr>
              <w:rPr>
                <w:sz w:val="24"/>
                <w:szCs w:val="24"/>
              </w:rPr>
            </w:pPr>
            <w:r>
              <w:rPr>
                <w:sz w:val="24"/>
                <w:szCs w:val="24"/>
              </w:rPr>
              <w:t>•</w:t>
            </w:r>
            <w:r w:rsidRPr="00317ADF">
              <w:rPr>
                <w:sz w:val="24"/>
                <w:szCs w:val="24"/>
              </w:rPr>
              <w:t>Use collective nouns (e.g., group).</w:t>
            </w:r>
          </w:p>
          <w:p w:rsidR="00317ADF" w:rsidRPr="00317ADF" w:rsidRDefault="00317ADF" w:rsidP="00317ADF">
            <w:pPr>
              <w:rPr>
                <w:sz w:val="24"/>
                <w:szCs w:val="24"/>
              </w:rPr>
            </w:pPr>
            <w:r>
              <w:rPr>
                <w:sz w:val="24"/>
                <w:szCs w:val="24"/>
              </w:rPr>
              <w:t>•</w:t>
            </w:r>
            <w:r w:rsidRPr="00317ADF">
              <w:rPr>
                <w:sz w:val="24"/>
                <w:szCs w:val="24"/>
              </w:rPr>
              <w:t>Form and use frequently occurring irregular plural nouns (e.g. feet, children, teeth, mice, fish).</w:t>
            </w:r>
          </w:p>
          <w:p w:rsidR="00317ADF" w:rsidRPr="00317ADF" w:rsidRDefault="00317ADF" w:rsidP="00317ADF">
            <w:pPr>
              <w:rPr>
                <w:sz w:val="24"/>
                <w:szCs w:val="24"/>
              </w:rPr>
            </w:pPr>
            <w:r>
              <w:rPr>
                <w:sz w:val="24"/>
                <w:szCs w:val="24"/>
              </w:rPr>
              <w:t>•</w:t>
            </w:r>
            <w:r w:rsidRPr="00317ADF">
              <w:rPr>
                <w:sz w:val="24"/>
                <w:szCs w:val="24"/>
              </w:rPr>
              <w:t>Use reflexive pronouns (e.g., myself, ourselves).</w:t>
            </w:r>
          </w:p>
          <w:p w:rsidR="00317ADF" w:rsidRPr="00317ADF" w:rsidRDefault="00317ADF" w:rsidP="00317ADF">
            <w:pPr>
              <w:rPr>
                <w:sz w:val="24"/>
                <w:szCs w:val="24"/>
              </w:rPr>
            </w:pPr>
            <w:r>
              <w:rPr>
                <w:sz w:val="24"/>
                <w:szCs w:val="24"/>
              </w:rPr>
              <w:t>•</w:t>
            </w:r>
            <w:r w:rsidRPr="00317ADF">
              <w:rPr>
                <w:sz w:val="24"/>
                <w:szCs w:val="24"/>
              </w:rPr>
              <w:t xml:space="preserve">Form and use the past tense of frequently occurring irregular verbs (e.g., sat, hid, </w:t>
            </w:r>
            <w:proofErr w:type="gramStart"/>
            <w:r w:rsidRPr="00317ADF">
              <w:rPr>
                <w:sz w:val="24"/>
                <w:szCs w:val="24"/>
              </w:rPr>
              <w:t>told</w:t>
            </w:r>
            <w:proofErr w:type="gramEnd"/>
            <w:r w:rsidRPr="00317ADF">
              <w:rPr>
                <w:sz w:val="24"/>
                <w:szCs w:val="24"/>
              </w:rPr>
              <w:t>).</w:t>
            </w:r>
          </w:p>
          <w:p w:rsidR="00317ADF" w:rsidRPr="00317ADF" w:rsidRDefault="00317ADF" w:rsidP="00317ADF">
            <w:pPr>
              <w:rPr>
                <w:sz w:val="24"/>
                <w:szCs w:val="24"/>
              </w:rPr>
            </w:pPr>
            <w:r>
              <w:rPr>
                <w:sz w:val="24"/>
                <w:szCs w:val="24"/>
              </w:rPr>
              <w:t>•</w:t>
            </w:r>
            <w:r w:rsidRPr="00317ADF">
              <w:rPr>
                <w:sz w:val="24"/>
                <w:szCs w:val="24"/>
              </w:rPr>
              <w:t>Use adjectives and adverbs, and choose between them depending on what is to be modified.</w:t>
            </w:r>
          </w:p>
          <w:p w:rsidR="009601FE" w:rsidRPr="00EC0401" w:rsidRDefault="00317ADF" w:rsidP="00317ADF">
            <w:pPr>
              <w:rPr>
                <w:sz w:val="24"/>
                <w:szCs w:val="24"/>
              </w:rPr>
            </w:pPr>
            <w:r>
              <w:rPr>
                <w:sz w:val="24"/>
                <w:szCs w:val="24"/>
              </w:rPr>
              <w:t>•</w:t>
            </w:r>
            <w:r w:rsidRPr="00317ADF">
              <w:rPr>
                <w:sz w:val="24"/>
                <w:szCs w:val="24"/>
              </w:rPr>
              <w:t>Produce, expand, and rearrange complete simple and compound sentences (e.g., The boy watched the movie; The little boy watched the movie; The action movie was watched by the little boy).</w:t>
            </w:r>
          </w:p>
        </w:tc>
      </w:tr>
    </w:tbl>
    <w:p w:rsidR="009601FE" w:rsidRDefault="009601FE"/>
    <w:p w:rsidR="002D1CB1" w:rsidRDefault="002D1CB1" w:rsidP="002D1CB1"/>
    <w:p w:rsidR="00EC0401" w:rsidRDefault="00EC0401" w:rsidP="002D1CB1">
      <w:pPr>
        <w:ind w:left="2880" w:firstLine="720"/>
        <w:rPr>
          <w:sz w:val="28"/>
          <w:szCs w:val="28"/>
        </w:rPr>
      </w:pPr>
      <w:r w:rsidRPr="00EC0401">
        <w:rPr>
          <w:sz w:val="28"/>
          <w:szCs w:val="28"/>
        </w:rPr>
        <w:t xml:space="preserve">Grade </w:t>
      </w:r>
      <w:r w:rsidR="00317ADF">
        <w:rPr>
          <w:sz w:val="28"/>
          <w:szCs w:val="28"/>
        </w:rPr>
        <w:t>2</w:t>
      </w:r>
      <w:r w:rsidRPr="00EC0401">
        <w:rPr>
          <w:sz w:val="28"/>
          <w:szCs w:val="28"/>
        </w:rPr>
        <w:t xml:space="preserve"> Appendix</w:t>
      </w:r>
    </w:p>
    <w:p w:rsidR="004E71C3" w:rsidRPr="00EC0401" w:rsidRDefault="004E71C3" w:rsidP="004E71C3">
      <w:pPr>
        <w:ind w:left="3600" w:firstLine="720"/>
        <w:rPr>
          <w:sz w:val="28"/>
          <w:szCs w:val="28"/>
        </w:rPr>
      </w:pPr>
      <w:bookmarkStart w:id="0" w:name="_GoBack"/>
      <w:bookmarkEnd w:id="0"/>
      <w:r>
        <w:rPr>
          <w:sz w:val="28"/>
          <w:szCs w:val="28"/>
        </w:rPr>
        <w:t>2BWH</w:t>
      </w:r>
    </w:p>
    <w:p w:rsidR="00EC0401" w:rsidRPr="00EC0401" w:rsidRDefault="00EC0401" w:rsidP="00EC0401">
      <w:pPr>
        <w:jc w:val="center"/>
        <w:rPr>
          <w:sz w:val="28"/>
          <w:szCs w:val="28"/>
        </w:rPr>
      </w:pPr>
      <w:r w:rsidRPr="00EC0401">
        <w:rPr>
          <w:sz w:val="28"/>
          <w:szCs w:val="28"/>
        </w:rPr>
        <w:t xml:space="preserve">Building </w:t>
      </w:r>
      <w:r>
        <w:rPr>
          <w:sz w:val="28"/>
          <w:szCs w:val="28"/>
        </w:rPr>
        <w:t xml:space="preserve">Writing </w:t>
      </w:r>
      <w:r w:rsidRPr="00EC0401">
        <w:rPr>
          <w:sz w:val="28"/>
          <w:szCs w:val="28"/>
        </w:rPr>
        <w:t>Habits</w:t>
      </w:r>
    </w:p>
    <w:tbl>
      <w:tblPr>
        <w:tblStyle w:val="TableGrid1"/>
        <w:tblW w:w="9877" w:type="dxa"/>
        <w:tblLook w:val="04A0" w:firstRow="1" w:lastRow="0" w:firstColumn="1" w:lastColumn="0" w:noHBand="0" w:noVBand="1"/>
      </w:tblPr>
      <w:tblGrid>
        <w:gridCol w:w="3248"/>
        <w:gridCol w:w="6629"/>
      </w:tblGrid>
      <w:tr w:rsidR="00EC0401" w:rsidRPr="00EC0401" w:rsidTr="002D1CB1">
        <w:trPr>
          <w:trHeight w:val="2609"/>
        </w:trPr>
        <w:tc>
          <w:tcPr>
            <w:tcW w:w="3248" w:type="dxa"/>
          </w:tcPr>
          <w:p w:rsidR="00EC0401" w:rsidRPr="00EC0401" w:rsidRDefault="00EC0401" w:rsidP="00EC0401">
            <w:pPr>
              <w:jc w:val="center"/>
              <w:rPr>
                <w:b/>
                <w:sz w:val="24"/>
                <w:szCs w:val="24"/>
              </w:rPr>
            </w:pPr>
            <w:r>
              <w:rPr>
                <w:b/>
                <w:sz w:val="24"/>
                <w:szCs w:val="24"/>
              </w:rPr>
              <w:t xml:space="preserve">Mechanics </w:t>
            </w:r>
          </w:p>
        </w:tc>
        <w:tc>
          <w:tcPr>
            <w:tcW w:w="6629" w:type="dxa"/>
          </w:tcPr>
          <w:p w:rsidR="002D1CB1" w:rsidRPr="002D1CB1" w:rsidRDefault="002D1CB1" w:rsidP="002D1CB1">
            <w:pPr>
              <w:rPr>
                <w:sz w:val="24"/>
                <w:szCs w:val="24"/>
              </w:rPr>
            </w:pPr>
            <w:r w:rsidRPr="002D1CB1">
              <w:rPr>
                <w:sz w:val="24"/>
                <w:szCs w:val="24"/>
              </w:rPr>
              <w:t>•Capitalize holidays, product names, and geographic names.</w:t>
            </w:r>
          </w:p>
          <w:p w:rsidR="002D1CB1" w:rsidRPr="002D1CB1" w:rsidRDefault="002D1CB1" w:rsidP="002D1CB1">
            <w:pPr>
              <w:rPr>
                <w:sz w:val="24"/>
                <w:szCs w:val="24"/>
              </w:rPr>
            </w:pPr>
            <w:r w:rsidRPr="002D1CB1">
              <w:rPr>
                <w:sz w:val="24"/>
                <w:szCs w:val="24"/>
              </w:rPr>
              <w:t>•Use commas in greetings and closings of letters.</w:t>
            </w:r>
          </w:p>
          <w:p w:rsidR="002D1CB1" w:rsidRPr="002D1CB1" w:rsidRDefault="002D1CB1" w:rsidP="002D1CB1">
            <w:pPr>
              <w:rPr>
                <w:sz w:val="24"/>
                <w:szCs w:val="24"/>
              </w:rPr>
            </w:pPr>
            <w:r w:rsidRPr="002D1CB1">
              <w:rPr>
                <w:sz w:val="24"/>
                <w:szCs w:val="24"/>
              </w:rPr>
              <w:t>•Use an apostrophe to form contractions and frequently occurring possessives.</w:t>
            </w:r>
          </w:p>
          <w:p w:rsidR="002D1CB1" w:rsidRPr="002D1CB1" w:rsidRDefault="002D1CB1" w:rsidP="002D1CB1">
            <w:pPr>
              <w:rPr>
                <w:sz w:val="24"/>
                <w:szCs w:val="24"/>
              </w:rPr>
            </w:pPr>
            <w:r w:rsidRPr="002D1CB1">
              <w:rPr>
                <w:sz w:val="24"/>
                <w:szCs w:val="24"/>
              </w:rPr>
              <w:t>•Generalize learned spelling patterns when writing words (e.g., cage → badge; boy → boil).</w:t>
            </w:r>
          </w:p>
          <w:p w:rsidR="00EC0401" w:rsidRPr="00EC0401" w:rsidRDefault="002D1CB1" w:rsidP="002D1CB1">
            <w:pPr>
              <w:rPr>
                <w:sz w:val="24"/>
                <w:szCs w:val="24"/>
              </w:rPr>
            </w:pPr>
            <w:r w:rsidRPr="002D1CB1">
              <w:rPr>
                <w:sz w:val="24"/>
                <w:szCs w:val="24"/>
              </w:rPr>
              <w:t>•Consult reference materials, including beginning dictionaries, as needed to check and correct spellings.</w:t>
            </w:r>
          </w:p>
        </w:tc>
      </w:tr>
      <w:tr w:rsidR="00EC0401" w:rsidRPr="00EC0401" w:rsidTr="002D1CB1">
        <w:trPr>
          <w:trHeight w:val="1509"/>
        </w:trPr>
        <w:tc>
          <w:tcPr>
            <w:tcW w:w="3248" w:type="dxa"/>
          </w:tcPr>
          <w:p w:rsidR="00EC0401" w:rsidRPr="00EC0401" w:rsidRDefault="00EC0401" w:rsidP="00EC0401">
            <w:pPr>
              <w:jc w:val="center"/>
              <w:rPr>
                <w:b/>
                <w:sz w:val="24"/>
                <w:szCs w:val="24"/>
              </w:rPr>
            </w:pPr>
            <w:r>
              <w:rPr>
                <w:b/>
                <w:sz w:val="24"/>
                <w:szCs w:val="24"/>
              </w:rPr>
              <w:t xml:space="preserve">Word Use </w:t>
            </w:r>
          </w:p>
        </w:tc>
        <w:tc>
          <w:tcPr>
            <w:tcW w:w="6629" w:type="dxa"/>
          </w:tcPr>
          <w:p w:rsidR="002D1CB1" w:rsidRPr="002D1CB1" w:rsidRDefault="002D1CB1" w:rsidP="002D1CB1">
            <w:pPr>
              <w:contextualSpacing/>
              <w:rPr>
                <w:sz w:val="24"/>
                <w:szCs w:val="24"/>
              </w:rPr>
            </w:pPr>
            <w:r w:rsidRPr="002D1CB1">
              <w:rPr>
                <w:sz w:val="24"/>
                <w:szCs w:val="24"/>
              </w:rPr>
              <w:t>•Identify real-life connections between words and their use (e.g., describe</w:t>
            </w:r>
          </w:p>
          <w:p w:rsidR="002D1CB1" w:rsidRPr="002D1CB1" w:rsidRDefault="002D1CB1" w:rsidP="002D1CB1">
            <w:pPr>
              <w:contextualSpacing/>
              <w:rPr>
                <w:sz w:val="24"/>
                <w:szCs w:val="24"/>
              </w:rPr>
            </w:pPr>
            <w:proofErr w:type="gramStart"/>
            <w:r w:rsidRPr="002D1CB1">
              <w:rPr>
                <w:sz w:val="24"/>
                <w:szCs w:val="24"/>
              </w:rPr>
              <w:t>foods</w:t>
            </w:r>
            <w:proofErr w:type="gramEnd"/>
            <w:r w:rsidRPr="002D1CB1">
              <w:rPr>
                <w:sz w:val="24"/>
                <w:szCs w:val="24"/>
              </w:rPr>
              <w:t xml:space="preserve"> that are spicy or juicy).</w:t>
            </w:r>
          </w:p>
          <w:p w:rsidR="002D1CB1" w:rsidRPr="002D1CB1" w:rsidRDefault="002D1CB1" w:rsidP="002D1CB1">
            <w:pPr>
              <w:contextualSpacing/>
              <w:rPr>
                <w:sz w:val="24"/>
                <w:szCs w:val="24"/>
              </w:rPr>
            </w:pPr>
            <w:r w:rsidRPr="002D1CB1">
              <w:rPr>
                <w:sz w:val="24"/>
                <w:szCs w:val="24"/>
              </w:rPr>
              <w:t>•Distinguish shades of meaning among closely related verbs (e.g., toss, throw, hurl) and closely related adjectives (e.g., thin, slender, skinny, scrawny).</w:t>
            </w:r>
            <w:r w:rsidRPr="002D1CB1">
              <w:rPr>
                <w:sz w:val="24"/>
                <w:szCs w:val="24"/>
              </w:rPr>
              <w:tab/>
            </w:r>
          </w:p>
          <w:p w:rsidR="00EC0401" w:rsidRPr="00EC0401" w:rsidRDefault="002D1CB1" w:rsidP="002D1CB1">
            <w:pPr>
              <w:contextualSpacing/>
              <w:rPr>
                <w:sz w:val="24"/>
                <w:szCs w:val="24"/>
              </w:rPr>
            </w:pPr>
            <w:r w:rsidRPr="002D1CB1">
              <w:rPr>
                <w:sz w:val="24"/>
                <w:szCs w:val="24"/>
              </w:rPr>
              <w:t>•Use words and phrases acquired through conversations, reading and being read to, and responding to texts, including using adjectives and adverbs to describe (e.g., When other kids are happy that makes me happy).</w:t>
            </w:r>
          </w:p>
        </w:tc>
      </w:tr>
      <w:tr w:rsidR="00EC0401" w:rsidRPr="00EC0401" w:rsidTr="002D1CB1">
        <w:trPr>
          <w:trHeight w:val="4282"/>
        </w:trPr>
        <w:tc>
          <w:tcPr>
            <w:tcW w:w="3248" w:type="dxa"/>
          </w:tcPr>
          <w:p w:rsidR="00EC0401" w:rsidRPr="00EC0401" w:rsidRDefault="00EC0401" w:rsidP="00EC0401">
            <w:pPr>
              <w:jc w:val="center"/>
              <w:rPr>
                <w:b/>
                <w:sz w:val="24"/>
                <w:szCs w:val="24"/>
              </w:rPr>
            </w:pPr>
            <w:r>
              <w:rPr>
                <w:b/>
                <w:sz w:val="24"/>
                <w:szCs w:val="24"/>
              </w:rPr>
              <w:lastRenderedPageBreak/>
              <w:t xml:space="preserve">Grammar / Language </w:t>
            </w:r>
          </w:p>
        </w:tc>
        <w:tc>
          <w:tcPr>
            <w:tcW w:w="6629" w:type="dxa"/>
          </w:tcPr>
          <w:p w:rsidR="002D1CB1" w:rsidRPr="002D1CB1" w:rsidRDefault="002D1CB1" w:rsidP="002D1CB1">
            <w:pPr>
              <w:rPr>
                <w:sz w:val="24"/>
                <w:szCs w:val="24"/>
              </w:rPr>
            </w:pPr>
            <w:r w:rsidRPr="002D1CB1">
              <w:rPr>
                <w:sz w:val="24"/>
                <w:szCs w:val="24"/>
              </w:rPr>
              <w:t>•Form and use frequently occurring irregular plural nouns (e.g., feet, children, teeth, mice, fish).</w:t>
            </w:r>
          </w:p>
          <w:p w:rsidR="002D1CB1" w:rsidRPr="002D1CB1" w:rsidRDefault="002D1CB1" w:rsidP="002D1CB1">
            <w:pPr>
              <w:rPr>
                <w:sz w:val="24"/>
                <w:szCs w:val="24"/>
              </w:rPr>
            </w:pPr>
            <w:r>
              <w:rPr>
                <w:sz w:val="24"/>
                <w:szCs w:val="24"/>
              </w:rPr>
              <w:t>•</w:t>
            </w:r>
            <w:r w:rsidRPr="002D1CB1">
              <w:rPr>
                <w:sz w:val="24"/>
                <w:szCs w:val="24"/>
              </w:rPr>
              <w:t>Use reflexive pronouns (e.g., myself, ourselves).</w:t>
            </w:r>
          </w:p>
          <w:p w:rsidR="002D1CB1" w:rsidRPr="002D1CB1" w:rsidRDefault="002D1CB1" w:rsidP="002D1CB1">
            <w:pPr>
              <w:rPr>
                <w:sz w:val="24"/>
                <w:szCs w:val="24"/>
              </w:rPr>
            </w:pPr>
            <w:r>
              <w:rPr>
                <w:sz w:val="24"/>
                <w:szCs w:val="24"/>
              </w:rPr>
              <w:t>•</w:t>
            </w:r>
            <w:r w:rsidRPr="002D1CB1">
              <w:rPr>
                <w:sz w:val="24"/>
                <w:szCs w:val="24"/>
              </w:rPr>
              <w:t xml:space="preserve">Form and use the past tense of frequently occurring irregular verbs (e.g., sat, hid, </w:t>
            </w:r>
            <w:proofErr w:type="gramStart"/>
            <w:r w:rsidRPr="002D1CB1">
              <w:rPr>
                <w:sz w:val="24"/>
                <w:szCs w:val="24"/>
              </w:rPr>
              <w:t>told</w:t>
            </w:r>
            <w:proofErr w:type="gramEnd"/>
            <w:r w:rsidRPr="002D1CB1">
              <w:rPr>
                <w:sz w:val="24"/>
                <w:szCs w:val="24"/>
              </w:rPr>
              <w:t>).</w:t>
            </w:r>
          </w:p>
          <w:p w:rsidR="002D1CB1" w:rsidRPr="002D1CB1" w:rsidRDefault="002D1CB1" w:rsidP="002D1CB1">
            <w:pPr>
              <w:rPr>
                <w:sz w:val="24"/>
                <w:szCs w:val="24"/>
              </w:rPr>
            </w:pPr>
            <w:r>
              <w:rPr>
                <w:sz w:val="24"/>
                <w:szCs w:val="24"/>
              </w:rPr>
              <w:t>•</w:t>
            </w:r>
            <w:r w:rsidRPr="002D1CB1">
              <w:rPr>
                <w:sz w:val="24"/>
                <w:szCs w:val="24"/>
              </w:rPr>
              <w:t>Use adjectives and adverbs, and choose between them depending on what is to be modified.</w:t>
            </w:r>
          </w:p>
          <w:p w:rsidR="00EC0401" w:rsidRDefault="002D1CB1" w:rsidP="002D1CB1">
            <w:pPr>
              <w:rPr>
                <w:sz w:val="24"/>
                <w:szCs w:val="24"/>
              </w:rPr>
            </w:pPr>
            <w:r>
              <w:rPr>
                <w:sz w:val="24"/>
                <w:szCs w:val="24"/>
              </w:rPr>
              <w:t>•</w:t>
            </w:r>
            <w:r w:rsidRPr="002D1CB1">
              <w:rPr>
                <w:sz w:val="24"/>
                <w:szCs w:val="24"/>
              </w:rPr>
              <w:t>Produce, expand, and rearrange complete simple and compound sentences (e.g., The boy watched the movie; The little boy watched the movie; The action movie was watched by the little boy).</w:t>
            </w:r>
          </w:p>
          <w:p w:rsidR="002D1CB1" w:rsidRDefault="002D1CB1" w:rsidP="002D1CB1">
            <w:pPr>
              <w:rPr>
                <w:sz w:val="24"/>
                <w:szCs w:val="24"/>
              </w:rPr>
            </w:pPr>
            <w:r>
              <w:rPr>
                <w:sz w:val="24"/>
                <w:szCs w:val="24"/>
              </w:rPr>
              <w:t>•</w:t>
            </w:r>
            <w:r w:rsidRPr="002D1CB1">
              <w:rPr>
                <w:sz w:val="24"/>
                <w:szCs w:val="24"/>
              </w:rPr>
              <w:t>Use collective nouns (e.g., group).</w:t>
            </w:r>
          </w:p>
          <w:p w:rsidR="002D1CB1" w:rsidRPr="00EC0401" w:rsidRDefault="002D1CB1" w:rsidP="002D1CB1">
            <w:pPr>
              <w:rPr>
                <w:sz w:val="24"/>
                <w:szCs w:val="24"/>
              </w:rPr>
            </w:pPr>
            <w:r w:rsidRPr="002D1CB1">
              <w:rPr>
                <w:sz w:val="24"/>
                <w:szCs w:val="24"/>
              </w:rPr>
              <w:t>•Compare formal and informal uses of English</w:t>
            </w:r>
          </w:p>
        </w:tc>
      </w:tr>
    </w:tbl>
    <w:p w:rsidR="00EC0401" w:rsidRDefault="00EC0401"/>
    <w:sectPr w:rsidR="00EC04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F4DCE"/>
    <w:multiLevelType w:val="hybridMultilevel"/>
    <w:tmpl w:val="B4F82C7A"/>
    <w:lvl w:ilvl="0" w:tplc="04090001">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nsid w:val="5EBC1540"/>
    <w:multiLevelType w:val="hybridMultilevel"/>
    <w:tmpl w:val="DF4C0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826993"/>
    <w:multiLevelType w:val="hybridMultilevel"/>
    <w:tmpl w:val="18F25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1FE"/>
    <w:rsid w:val="000D332C"/>
    <w:rsid w:val="002245C3"/>
    <w:rsid w:val="002D1CB1"/>
    <w:rsid w:val="00317ADF"/>
    <w:rsid w:val="004E71C3"/>
    <w:rsid w:val="0068341F"/>
    <w:rsid w:val="007A66A9"/>
    <w:rsid w:val="008129B4"/>
    <w:rsid w:val="009601FE"/>
    <w:rsid w:val="00A9615F"/>
    <w:rsid w:val="00AB5CDE"/>
    <w:rsid w:val="00BD6B8E"/>
    <w:rsid w:val="00EC0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4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0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45C3"/>
    <w:pPr>
      <w:spacing w:after="0" w:line="240" w:lineRule="auto"/>
      <w:ind w:left="720"/>
      <w:contextualSpacing/>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EC0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4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0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45C3"/>
    <w:pPr>
      <w:spacing w:after="0" w:line="240" w:lineRule="auto"/>
      <w:ind w:left="720"/>
      <w:contextualSpacing/>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EC0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36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Farsaci</dc:creator>
  <cp:lastModifiedBy>Cheryl White</cp:lastModifiedBy>
  <cp:revision>6</cp:revision>
  <dcterms:created xsi:type="dcterms:W3CDTF">2016-04-05T23:43:00Z</dcterms:created>
  <dcterms:modified xsi:type="dcterms:W3CDTF">2016-04-12T18:55:00Z</dcterms:modified>
</cp:coreProperties>
</file>